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EFFECTIVENESS OF REMOTE PATIENT MONITORING AFTER DISCHARGE OF HOSPITALIZED PATIENTS WITH HEART FAILURE: THE BETTER EFFECTIVENESS AFTER TRANSITION-HEART FAILURE (BEAT-HF) RANDOMIZED CLINICAL TRIAL </w:t>
      </w:r>
    </w:p>
    <w:p w:rsidR="00406C58" w:rsidRDefault="00B921ED" w:rsidP="00406C58">
      <w:pPr>
        <w:widowControl w:val="0"/>
        <w:autoSpaceDE w:val="0"/>
        <w:autoSpaceDN w:val="0"/>
        <w:adjustRightInd w:val="0"/>
      </w:pPr>
      <w:r w:rsidRPr="00406C58">
        <w:rPr>
          <w:b/>
          <w:bCs/>
          <w:u w:val="single"/>
        </w:rPr>
        <w:t>M</w:t>
      </w:r>
      <w:r w:rsidR="00406C58" w:rsidRPr="00406C58">
        <w:rPr>
          <w:b/>
          <w:bCs/>
          <w:u w:val="single"/>
        </w:rPr>
        <w:t>.</w:t>
      </w:r>
      <w:r w:rsidRPr="00406C58">
        <w:rPr>
          <w:b/>
          <w:bCs/>
          <w:u w:val="single"/>
        </w:rPr>
        <w:t>K</w:t>
      </w:r>
      <w:r w:rsidR="00406C58" w:rsidRPr="00406C58">
        <w:rPr>
          <w:b/>
          <w:bCs/>
          <w:u w:val="single"/>
        </w:rPr>
        <w:t>.</w:t>
      </w:r>
      <w:r w:rsidRPr="00406C58">
        <w:rPr>
          <w:b/>
          <w:bCs/>
          <w:u w:val="single"/>
        </w:rPr>
        <w:t xml:space="preserve"> Ong</w:t>
      </w:r>
      <w:r w:rsidR="00406C58" w:rsidRPr="00406C58">
        <w:rPr>
          <w:b/>
          <w:bCs/>
          <w:u w:val="single"/>
          <w:vertAlign w:val="superscript"/>
        </w:rPr>
        <w:t>1</w:t>
      </w:r>
      <w:proofErr w:type="gramStart"/>
      <w:r w:rsidR="00406C58" w:rsidRPr="00406C58">
        <w:rPr>
          <w:b/>
          <w:bCs/>
          <w:u w:val="single"/>
          <w:vertAlign w:val="superscript"/>
        </w:rPr>
        <w:t>,9</w:t>
      </w:r>
      <w:proofErr w:type="gramEnd"/>
      <w:r>
        <w:t>, P</w:t>
      </w:r>
      <w:r w:rsidR="00406C58">
        <w:t>.</w:t>
      </w:r>
      <w:r>
        <w:t>S</w:t>
      </w:r>
      <w:r w:rsidR="00406C58">
        <w:t>.</w:t>
      </w:r>
      <w:r>
        <w:t xml:space="preserve"> Romano</w:t>
      </w:r>
      <w:r w:rsidR="00406C58" w:rsidRPr="00406C58">
        <w:rPr>
          <w:vertAlign w:val="superscript"/>
        </w:rPr>
        <w:t>2</w:t>
      </w:r>
      <w:r w:rsidR="00406C58">
        <w:t>,</w:t>
      </w:r>
      <w:r>
        <w:t xml:space="preserve"> S</w:t>
      </w:r>
      <w:r w:rsidR="00406C58">
        <w:t>.</w:t>
      </w:r>
      <w:r>
        <w:t xml:space="preserve"> Edgington</w:t>
      </w:r>
      <w:r w:rsidR="00406C58" w:rsidRPr="00406C58">
        <w:rPr>
          <w:vertAlign w:val="superscript"/>
        </w:rPr>
        <w:t>1</w:t>
      </w:r>
      <w:r>
        <w:t>, A</w:t>
      </w:r>
      <w:r w:rsidR="00406C58">
        <w:t>.</w:t>
      </w:r>
      <w:r>
        <w:t>D</w:t>
      </w:r>
      <w:r w:rsidR="00406C58">
        <w:t>.</w:t>
      </w:r>
      <w:r>
        <w:t xml:space="preserve"> Auerbach</w:t>
      </w:r>
      <w:r w:rsidR="00406C58" w:rsidRPr="00406C58">
        <w:rPr>
          <w:vertAlign w:val="superscript"/>
        </w:rPr>
        <w:t>5</w:t>
      </w:r>
      <w:r>
        <w:t>, J</w:t>
      </w:r>
      <w:r w:rsidR="00406C58">
        <w:t>.</w:t>
      </w:r>
      <w:r>
        <w:t>T</w:t>
      </w:r>
      <w:r w:rsidR="00406C58">
        <w:t>.</w:t>
      </w:r>
      <w:r>
        <w:t xml:space="preserve"> Black</w:t>
      </w:r>
      <w:r w:rsidR="00406C58" w:rsidRPr="00406C58">
        <w:rPr>
          <w:vertAlign w:val="superscript"/>
        </w:rPr>
        <w:t>6</w:t>
      </w:r>
      <w:r>
        <w:t xml:space="preserve">, </w:t>
      </w:r>
    </w:p>
    <w:p w:rsidR="00B921ED" w:rsidRDefault="00B921ED" w:rsidP="00406C58">
      <w:pPr>
        <w:widowControl w:val="0"/>
        <w:autoSpaceDE w:val="0"/>
        <w:autoSpaceDN w:val="0"/>
        <w:adjustRightInd w:val="0"/>
      </w:pPr>
      <w:r>
        <w:t>J</w:t>
      </w:r>
      <w:r w:rsidR="00406C58">
        <w:t>.</w:t>
      </w:r>
      <w:r>
        <w:t>J</w:t>
      </w:r>
      <w:r w:rsidR="00406C58">
        <w:t>.</w:t>
      </w:r>
      <w:r>
        <w:t xml:space="preserve"> Escarce</w:t>
      </w:r>
      <w:r w:rsidR="00406C58" w:rsidRPr="00406C58">
        <w:rPr>
          <w:vertAlign w:val="superscript"/>
        </w:rPr>
        <w:t>1</w:t>
      </w:r>
      <w:proofErr w:type="gramStart"/>
      <w:r w:rsidR="00406C58" w:rsidRPr="00406C58">
        <w:rPr>
          <w:vertAlign w:val="superscript"/>
        </w:rPr>
        <w:t>,7</w:t>
      </w:r>
      <w:proofErr w:type="gramEnd"/>
      <w:r>
        <w:t>, T</w:t>
      </w:r>
      <w:r w:rsidR="00406C58">
        <w:t>.</w:t>
      </w:r>
      <w:r>
        <w:t>G</w:t>
      </w:r>
      <w:r w:rsidR="00406C58">
        <w:t>.</w:t>
      </w:r>
      <w:r>
        <w:t xml:space="preserve"> Ganiats</w:t>
      </w:r>
      <w:r w:rsidR="00406C58" w:rsidRPr="00406C58">
        <w:rPr>
          <w:vertAlign w:val="superscript"/>
        </w:rPr>
        <w:t>4,8</w:t>
      </w:r>
      <w:r>
        <w:t>, S</w:t>
      </w:r>
      <w:r w:rsidR="00406C58">
        <w:t>.</w:t>
      </w:r>
      <w:r>
        <w:t xml:space="preserve"> Greenfield</w:t>
      </w:r>
      <w:r w:rsidR="00406C58" w:rsidRPr="00406C58">
        <w:rPr>
          <w:vertAlign w:val="superscript"/>
        </w:rPr>
        <w:t>3</w:t>
      </w:r>
      <w:r>
        <w:t>, A</w:t>
      </w:r>
      <w:r w:rsidR="00406C58">
        <w:t>.</w:t>
      </w:r>
      <w:r>
        <w:t xml:space="preserve"> Kimchi</w:t>
      </w:r>
      <w:r w:rsidR="00406C58" w:rsidRPr="00406C58">
        <w:rPr>
          <w:vertAlign w:val="superscript"/>
        </w:rPr>
        <w:t>6</w:t>
      </w:r>
      <w:r>
        <w:t>, G</w:t>
      </w:r>
      <w:r w:rsidR="00406C58">
        <w:t>.</w:t>
      </w:r>
      <w:r>
        <w:t>C</w:t>
      </w:r>
      <w:r w:rsidR="00406C58">
        <w:t>.</w:t>
      </w:r>
      <w:r>
        <w:t xml:space="preserve"> Fonarow</w:t>
      </w:r>
      <w:r w:rsidR="00406C58" w:rsidRPr="00406C58">
        <w:rPr>
          <w:vertAlign w:val="superscript"/>
        </w:rPr>
        <w:t>1</w:t>
      </w:r>
    </w:p>
    <w:p w:rsidR="00406C58" w:rsidRP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1. </w:t>
      </w:r>
      <w:r w:rsidR="00B921ED" w:rsidRPr="00406C58">
        <w:rPr>
          <w:color w:val="000000"/>
          <w:sz w:val="22"/>
          <w:szCs w:val="22"/>
        </w:rPr>
        <w:t>University of California, Los Angeles</w:t>
      </w:r>
      <w:r w:rsidRPr="00406C58">
        <w:rPr>
          <w:color w:val="000000"/>
          <w:sz w:val="22"/>
          <w:szCs w:val="22"/>
        </w:rPr>
        <w:t>, CA, USA</w:t>
      </w:r>
    </w:p>
    <w:p w:rsidR="00406C58" w:rsidRP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2. </w:t>
      </w:r>
      <w:r w:rsidR="00B921ED" w:rsidRPr="00406C58">
        <w:rPr>
          <w:color w:val="000000"/>
          <w:sz w:val="22"/>
          <w:szCs w:val="22"/>
        </w:rPr>
        <w:t>University of California, Davis</w:t>
      </w:r>
    </w:p>
    <w:p w:rsidR="00406C58" w:rsidRP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3. </w:t>
      </w:r>
      <w:r w:rsidR="00B921ED" w:rsidRPr="00406C58">
        <w:rPr>
          <w:color w:val="000000"/>
          <w:sz w:val="22"/>
          <w:szCs w:val="22"/>
        </w:rPr>
        <w:t>University of California, Irvine</w:t>
      </w:r>
    </w:p>
    <w:p w:rsidR="00406C58" w:rsidRP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4. </w:t>
      </w:r>
      <w:r w:rsidR="00B921ED" w:rsidRPr="00406C58">
        <w:rPr>
          <w:color w:val="000000"/>
          <w:sz w:val="22"/>
          <w:szCs w:val="22"/>
        </w:rPr>
        <w:t>University of California, San Diego</w:t>
      </w:r>
    </w:p>
    <w:p w:rsidR="00406C58" w:rsidRP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5. </w:t>
      </w:r>
      <w:r w:rsidR="00B921ED" w:rsidRPr="00406C58">
        <w:rPr>
          <w:color w:val="000000"/>
          <w:sz w:val="22"/>
          <w:szCs w:val="22"/>
        </w:rPr>
        <w:t>University of California, San Francisco</w:t>
      </w:r>
    </w:p>
    <w:p w:rsidR="00406C58" w:rsidRP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6. </w:t>
      </w:r>
      <w:r w:rsidR="00B921ED" w:rsidRPr="00406C58">
        <w:rPr>
          <w:color w:val="000000"/>
          <w:sz w:val="22"/>
          <w:szCs w:val="22"/>
        </w:rPr>
        <w:t>Cedars-Sinai Medical Center</w:t>
      </w:r>
    </w:p>
    <w:p w:rsidR="00406C58" w:rsidRDefault="00406C58" w:rsidP="00406C5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406C58">
        <w:rPr>
          <w:color w:val="000000"/>
          <w:sz w:val="22"/>
          <w:szCs w:val="22"/>
        </w:rPr>
        <w:t xml:space="preserve">7. </w:t>
      </w:r>
      <w:r w:rsidR="00B921ED" w:rsidRPr="00406C58">
        <w:rPr>
          <w:color w:val="000000"/>
          <w:sz w:val="22"/>
          <w:szCs w:val="22"/>
        </w:rPr>
        <w:t>RAND Corporation, University of Miami</w:t>
      </w:r>
    </w:p>
    <w:p w:rsidR="006D33D1" w:rsidRPr="00406C58" w:rsidRDefault="006D33D1" w:rsidP="00EB34B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University of Miam</w:t>
      </w:r>
      <w:r w:rsidR="00EB34B0">
        <w:rPr>
          <w:color w:val="000000"/>
          <w:sz w:val="22"/>
          <w:szCs w:val="22"/>
        </w:rPr>
        <w:t>i</w:t>
      </w:r>
    </w:p>
    <w:p w:rsidR="00B921ED" w:rsidRPr="00406C58" w:rsidRDefault="006D33D1" w:rsidP="00406C58">
      <w:pPr>
        <w:widowControl w:val="0"/>
        <w:autoSpaceDE w:val="0"/>
        <w:autoSpaceDN w:val="0"/>
        <w:adjustRightInd w:val="0"/>
        <w:rPr>
          <w:color w:val="50382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06C58" w:rsidRPr="00406C58">
        <w:rPr>
          <w:color w:val="000000"/>
          <w:sz w:val="22"/>
          <w:szCs w:val="22"/>
        </w:rPr>
        <w:t xml:space="preserve">. </w:t>
      </w:r>
      <w:r w:rsidR="00B921ED" w:rsidRPr="00406C58">
        <w:rPr>
          <w:color w:val="000000"/>
          <w:sz w:val="22"/>
          <w:szCs w:val="22"/>
        </w:rPr>
        <w:t>VA Greater Los Angeles Health</w:t>
      </w:r>
      <w:bookmarkStart w:id="0" w:name="_GoBack"/>
      <w:bookmarkEnd w:id="0"/>
      <w:r w:rsidR="00B921ED" w:rsidRPr="00406C58">
        <w:rPr>
          <w:color w:val="000000"/>
          <w:sz w:val="22"/>
          <w:szCs w:val="22"/>
        </w:rPr>
        <w:t>care System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06C58" w:rsidRDefault="00B921ED">
      <w:pPr>
        <w:widowControl w:val="0"/>
        <w:autoSpaceDE w:val="0"/>
        <w:autoSpaceDN w:val="0"/>
        <w:adjustRightInd w:val="0"/>
        <w:jc w:val="both"/>
      </w:pPr>
      <w:r w:rsidRPr="00406C58">
        <w:rPr>
          <w:i/>
          <w:iCs/>
        </w:rPr>
        <w:t>Importance</w:t>
      </w:r>
      <w:r>
        <w:t xml:space="preserve">: It remains unclear if </w:t>
      </w:r>
      <w:proofErr w:type="spellStart"/>
      <w:r>
        <w:t>telemonitoring</w:t>
      </w:r>
      <w:proofErr w:type="spellEnd"/>
      <w:r>
        <w:t xml:space="preserve"> approaches provide benefits for heart failure (HF) patients following hospitalization. </w:t>
      </w:r>
    </w:p>
    <w:p w:rsidR="00406C58" w:rsidRDefault="00B921ED">
      <w:pPr>
        <w:widowControl w:val="0"/>
        <w:autoSpaceDE w:val="0"/>
        <w:autoSpaceDN w:val="0"/>
        <w:adjustRightInd w:val="0"/>
        <w:jc w:val="both"/>
      </w:pPr>
      <w:r w:rsidRPr="00406C58">
        <w:rPr>
          <w:i/>
          <w:iCs/>
        </w:rPr>
        <w:t>Objective</w:t>
      </w:r>
      <w:r>
        <w:t>: Evaluate the effectiveness of a care transition intervention using remote patient monitoring at reducing 180-day all-cause readmissions among a broad population of older adults hospitalized with HF</w:t>
      </w:r>
      <w:r w:rsidR="00406C58">
        <w:t>.</w:t>
      </w:r>
    </w:p>
    <w:p w:rsidR="00406C58" w:rsidRDefault="00B921ED">
      <w:pPr>
        <w:widowControl w:val="0"/>
        <w:autoSpaceDE w:val="0"/>
        <w:autoSpaceDN w:val="0"/>
        <w:adjustRightInd w:val="0"/>
        <w:jc w:val="both"/>
      </w:pPr>
      <w:r w:rsidRPr="00406C58">
        <w:rPr>
          <w:i/>
          <w:iCs/>
        </w:rPr>
        <w:t>Design</w:t>
      </w:r>
      <w:r>
        <w:t xml:space="preserve">: We randomized between October 2011 and September 2013 1,437 patients age 50 or older who were hospitalized and received active treatment for decompensated HF at 6 academic medical centers in California to either intervention (715 patients) or usual care (722 patients) arms of the Better Effectiveness After Transition – Heart Failure (BEAT-HF) study and followed them for 180 days. </w:t>
      </w:r>
    </w:p>
    <w:p w:rsidR="00406C58" w:rsidRDefault="00B921ED">
      <w:pPr>
        <w:widowControl w:val="0"/>
        <w:autoSpaceDE w:val="0"/>
        <w:autoSpaceDN w:val="0"/>
        <w:adjustRightInd w:val="0"/>
        <w:jc w:val="both"/>
      </w:pPr>
      <w:r w:rsidRPr="00406C58">
        <w:rPr>
          <w:i/>
          <w:iCs/>
        </w:rPr>
        <w:t>Intervention</w:t>
      </w:r>
      <w:r>
        <w:t xml:space="preserve">: The intervention combined health coaching calls and </w:t>
      </w:r>
      <w:proofErr w:type="spellStart"/>
      <w:r>
        <w:t>telemonitoring</w:t>
      </w:r>
      <w:proofErr w:type="spellEnd"/>
      <w:r>
        <w:t xml:space="preserve">. </w:t>
      </w:r>
      <w:proofErr w:type="spellStart"/>
      <w:r>
        <w:t>Telemonitoring</w:t>
      </w:r>
      <w:proofErr w:type="spellEnd"/>
      <w:r>
        <w:t xml:space="preserve"> used Bluetooth-enabled equipment that collected daily information about blood pressure, heart rate, symptoms, and weight; centralized registered nurses conducted </w:t>
      </w:r>
      <w:proofErr w:type="spellStart"/>
      <w:r>
        <w:t>telemonitoring</w:t>
      </w:r>
      <w:proofErr w:type="spellEnd"/>
      <w:r>
        <w:t xml:space="preserve"> reviews, </w:t>
      </w:r>
      <w:proofErr w:type="spellStart"/>
      <w:r>
        <w:t>protocolized</w:t>
      </w:r>
      <w:proofErr w:type="spellEnd"/>
      <w:r>
        <w:t xml:space="preserve"> actions, and calls.</w:t>
      </w:r>
    </w:p>
    <w:p w:rsidR="00FE0BC7" w:rsidRDefault="00B921ED">
      <w:pPr>
        <w:widowControl w:val="0"/>
        <w:autoSpaceDE w:val="0"/>
        <w:autoSpaceDN w:val="0"/>
        <w:adjustRightInd w:val="0"/>
        <w:jc w:val="both"/>
      </w:pPr>
      <w:r w:rsidRPr="00406C58">
        <w:rPr>
          <w:i/>
          <w:iCs/>
        </w:rPr>
        <w:t>Main Outcomes</w:t>
      </w:r>
      <w:r>
        <w:t xml:space="preserve">: The primary outcome was readmission for any cause within 180 days after discharge. Secondary outcomes were all cause readmission within 30 days, </w:t>
      </w:r>
      <w:proofErr w:type="spellStart"/>
      <w:r>
        <w:t>all cause</w:t>
      </w:r>
      <w:proofErr w:type="spellEnd"/>
      <w:r>
        <w:t xml:space="preserve"> mortality at 30 and 180 days, and quality of life at 30 and 180 days.</w:t>
      </w:r>
    </w:p>
    <w:p w:rsidR="00FE0BC7" w:rsidRDefault="00B921ED">
      <w:pPr>
        <w:widowControl w:val="0"/>
        <w:autoSpaceDE w:val="0"/>
        <w:autoSpaceDN w:val="0"/>
        <w:adjustRightInd w:val="0"/>
        <w:jc w:val="both"/>
      </w:pPr>
      <w:r w:rsidRPr="00FE0BC7">
        <w:rPr>
          <w:u w:val="single"/>
        </w:rPr>
        <w:t>Results</w:t>
      </w:r>
      <w:r>
        <w:t xml:space="preserve">: Median age of participants was 73 years; 45.6% were female, and 22.2% were African American. The intervention and usual care groups did not differ significantly on the primary end point, which occurred in 52.2% and 50.1% of patients, respectively (adjusted hazard ratio, AHR, 1.03; 95% confidence interval [CI], 0.88–1.20; P=0.74). In secondary analyses there were no significant differences on 30 day readmission or 180 day mortality, but there was a significant difference on 180 day quality of life between the intervention and usual care groups.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FE0BC7">
        <w:rPr>
          <w:i/>
          <w:iCs/>
        </w:rPr>
        <w:t>Conclusions and Relevance</w:t>
      </w:r>
      <w:r>
        <w:t xml:space="preserve">: Among patients hospitalized for HF, combined health coaching and </w:t>
      </w:r>
      <w:proofErr w:type="spellStart"/>
      <w:r>
        <w:t>telemonitoring</w:t>
      </w:r>
      <w:proofErr w:type="spellEnd"/>
      <w:r>
        <w:t xml:space="preserve"> did not reduce 180-day readmissions. The results suggest further studies are needed to evaluate potential quality of life benefits.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5DA" w:rsidRDefault="00F905DA" w:rsidP="00406C58">
      <w:r>
        <w:separator/>
      </w:r>
    </w:p>
  </w:endnote>
  <w:endnote w:type="continuationSeparator" w:id="0">
    <w:p w:rsidR="00F905DA" w:rsidRDefault="00F905DA" w:rsidP="0040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5DA" w:rsidRDefault="00F905DA" w:rsidP="00406C58">
      <w:r>
        <w:separator/>
      </w:r>
    </w:p>
  </w:footnote>
  <w:footnote w:type="continuationSeparator" w:id="0">
    <w:p w:rsidR="00F905DA" w:rsidRDefault="00F905DA" w:rsidP="0040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C58" w:rsidRDefault="00406C58" w:rsidP="00406C58">
    <w:pPr>
      <w:pStyle w:val="Header"/>
    </w:pPr>
    <w:r>
      <w:t xml:space="preserve">3081    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Computers in cardiology</w:t>
    </w:r>
  </w:p>
  <w:p w:rsidR="00406C58" w:rsidRDefault="00406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F7418"/>
    <w:rsid w:val="00406C58"/>
    <w:rsid w:val="00447B2F"/>
    <w:rsid w:val="004746F6"/>
    <w:rsid w:val="006D33D1"/>
    <w:rsid w:val="00B921ED"/>
    <w:rsid w:val="00EB34B0"/>
    <w:rsid w:val="00F55D45"/>
    <w:rsid w:val="00F905DA"/>
    <w:rsid w:val="00FE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3EE665-5515-4AB1-BA33-CDEC138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C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C5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06C58"/>
  </w:style>
  <w:style w:type="paragraph" w:styleId="BalloonText">
    <w:name w:val="Balloon Text"/>
    <w:basedOn w:val="Normal"/>
    <w:link w:val="BalloonTextChar"/>
    <w:uiPriority w:val="99"/>
    <w:semiHidden/>
    <w:unhideWhenUsed/>
    <w:rsid w:val="000F7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7</cp:revision>
  <cp:lastPrinted>2016-05-22T06:43:00Z</cp:lastPrinted>
  <dcterms:created xsi:type="dcterms:W3CDTF">2016-03-29T05:29:00Z</dcterms:created>
  <dcterms:modified xsi:type="dcterms:W3CDTF">2016-05-22T06:44:00Z</dcterms:modified>
</cp:coreProperties>
</file>